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4E3F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0"/>
          <w:sz w:val="44"/>
          <w:szCs w:val="44"/>
        </w:rPr>
        <w:t>关于叶榭镇2024年预算执行情况</w:t>
      </w:r>
    </w:p>
    <w:p w14:paraId="03FB6104">
      <w:pPr>
        <w:spacing w:line="560" w:lineRule="exact"/>
        <w:ind w:left="141" w:leftChars="67"/>
        <w:jc w:val="center"/>
        <w:rPr>
          <w:rFonts w:ascii="方正小标宋简体" w:hAnsi="方正小标宋简体" w:eastAsia="方正小标宋简体" w:cs="方正小标宋简体"/>
          <w:spacing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0"/>
          <w:sz w:val="44"/>
          <w:szCs w:val="44"/>
        </w:rPr>
        <w:t>及2025年预算草案的报告</w:t>
      </w:r>
    </w:p>
    <w:p w14:paraId="004972E4">
      <w:pPr>
        <w:spacing w:line="560" w:lineRule="exact"/>
        <w:ind w:left="283" w:leftChars="135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--2025年1月6日在叶榭镇第六届</w:t>
      </w:r>
    </w:p>
    <w:p w14:paraId="4EAAC6C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人民代表大会第八次会议上</w:t>
      </w:r>
    </w:p>
    <w:p w14:paraId="2B7E013B">
      <w:pPr>
        <w:spacing w:line="56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各位代表：</w:t>
      </w:r>
    </w:p>
    <w:p w14:paraId="63CA90CC">
      <w:pPr>
        <w:spacing w:line="56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我受叶榭镇人民政府的委托，现将2024年预算执行情况与2025年预算草案提请本次大会审议，并请各位列席代表提出意见。</w:t>
      </w:r>
    </w:p>
    <w:p w14:paraId="3932887E">
      <w:pPr>
        <w:spacing w:line="560" w:lineRule="exact"/>
        <w:ind w:firstLine="640" w:firstLineChars="200"/>
        <w:textAlignment w:val="top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一、2024年预算执行情况</w:t>
      </w:r>
    </w:p>
    <w:p w14:paraId="08537005">
      <w:pPr>
        <w:spacing w:line="560" w:lineRule="exact"/>
        <w:ind w:firstLine="640" w:firstLineChars="200"/>
        <w:textAlignment w:val="top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是党的二十届三中全会召开之年，是实现“十四五”规划目标任务的关键一年。一年以来，我镇财政在镇党委、镇政府的领导下，把稳增长摆在突出位置，积极应对复杂严峻的外部形势，加强收入分析研判，加大收入组织力度，持续推进我镇经济社会各项事业继续保持稳步发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在此基础上，2024年预算执行情况总体较好：</w:t>
      </w:r>
    </w:p>
    <w:p w14:paraId="58BDEF31">
      <w:pPr>
        <w:spacing w:line="560" w:lineRule="exact"/>
        <w:ind w:firstLine="643" w:firstLineChars="200"/>
        <w:textAlignment w:val="top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（一）2024年地方财政预算收支情况</w:t>
      </w:r>
    </w:p>
    <w:p w14:paraId="7AD1C0B2">
      <w:pPr>
        <w:spacing w:line="560" w:lineRule="exact"/>
        <w:ind w:firstLine="640" w:firstLineChars="200"/>
        <w:textAlignment w:val="top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2024年我镇人民代表大会审议通过的地方财政预算收入为 48931万元，在实际执行过程中，因收支情况的变动，经镇人民代表大会主席团会议批准，调整为63500万元，实际完成63500万元，完成预算的100%。年初地方财政预算支出48931万元，调整为63315万元，实际完成63315万元，完成预算的100%；市级专项转移项目结转185万元。</w:t>
      </w:r>
    </w:p>
    <w:p w14:paraId="1EF345B5">
      <w:pPr>
        <w:adjustRightInd w:val="0"/>
        <w:snapToGrid w:val="0"/>
        <w:spacing w:line="560" w:lineRule="exact"/>
        <w:ind w:firstLine="643" w:firstLineChars="200"/>
        <w:textAlignment w:val="top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1、地方财政收入执行情况</w:t>
      </w:r>
    </w:p>
    <w:p w14:paraId="7E6A57CE">
      <w:pPr>
        <w:spacing w:line="56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一般公共预算收入63500万元，完成预算100%，比上年增加5211万元，增幅9%，主要为集体土地入市收入的增加。</w:t>
      </w:r>
    </w:p>
    <w:p w14:paraId="389436C3">
      <w:pPr>
        <w:spacing w:line="560" w:lineRule="exact"/>
        <w:ind w:firstLine="643" w:firstLineChars="200"/>
        <w:textAlignment w:val="top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2、地方财政支出执行情况</w:t>
      </w:r>
    </w:p>
    <w:p w14:paraId="2A061A3F">
      <w:pPr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一般公共预算支出63315万元，比上年减少540万元，同比降幅0.8%</w:t>
      </w:r>
      <w:bookmarkStart w:id="0" w:name="OLE_LINK4"/>
      <w:bookmarkStart w:id="1" w:name="OLE_LINK3"/>
      <w:r>
        <w:rPr>
          <w:rFonts w:hint="eastAsia" w:ascii="仿宋_GB2312" w:hAnsi="仿宋_GB2312" w:eastAsia="仿宋_GB2312" w:cs="仿宋_GB2312"/>
          <w:sz w:val="32"/>
          <w:szCs w:val="32"/>
        </w:rPr>
        <w:t>；市级专项转移项目结转185万元。</w:t>
      </w:r>
    </w:p>
    <w:p w14:paraId="6432F827">
      <w:pPr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主要支出情况为：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（1）一般公共服务支出3790万元，完成预算100%，比上年减少114万元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（2）公共安全支出121万元，完成预算100%，比上年减少25万元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（3）教育支出16万元，完成预算100%，比上年减少142万元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1600EFB">
      <w:pPr>
        <w:adjustRightInd w:val="0"/>
        <w:snapToGrid w:val="0"/>
        <w:spacing w:line="560" w:lineRule="exact"/>
        <w:textAlignment w:val="top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（4）科学技术支出1万元，完成预算100%，比上年减少1万元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（5）文化旅游体育与传媒支出155万元，完成预算100%，比上年减少83万元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（6）社会保障和就业13217万元，完成预算100%，比上年增加2013万元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（7）卫生健康支出934万元，完成预算100%，比上年减少2732万元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（8）节能环保支出195万元，完成预算100%，比上年减少1532万元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（9）城乡社区支出11824万元，完成预算100%，比上年减少214万元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（10）农林水支出18363万元，完成预算100%，比上年增加3278万元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（11）交通运输支出2276万元，完成预算100%，比上年增加2276万元。（12）资源勘探工业信息等支出11155万元，完成预算100%，比上年减少3413万元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）援助其他地区支出310万元，完成预算100%，比去年减少9万元。（1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）住房保障支出700万元, 完成预算100%,比上年增加44万元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（14）灾害防治及应急管理支出258万元，完成年初预算100%，比上年增加113万元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bookmarkEnd w:id="0"/>
    <w:bookmarkEnd w:id="1"/>
    <w:p w14:paraId="3080945F">
      <w:pPr>
        <w:spacing w:line="560" w:lineRule="exact"/>
        <w:ind w:firstLine="643" w:firstLineChars="200"/>
        <w:textAlignment w:val="top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（二）政府性基金专项收支情况</w:t>
      </w:r>
    </w:p>
    <w:p w14:paraId="48B6CFB7">
      <w:pPr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2024年度政府性基金未安排年初预算，当年度政府性基金实际收入为29143万元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29143万元。</w:t>
      </w:r>
    </w:p>
    <w:p w14:paraId="5B0C98AD">
      <w:pPr>
        <w:spacing w:line="560" w:lineRule="exact"/>
        <w:ind w:firstLine="640" w:firstLineChars="200"/>
        <w:textAlignment w:val="top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财政专户资金使用情况</w:t>
      </w:r>
    </w:p>
    <w:p w14:paraId="13325FF1">
      <w:pPr>
        <w:spacing w:line="56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2024年使用财政专户资金55026万元，其中使用减量化结转资金21948万元。</w:t>
      </w:r>
    </w:p>
    <w:p w14:paraId="4F87AF89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2024年我镇财政运行基本平稳，财政改革发展各项工作也取得了新的进展，这是镇党委、镇政府以及全体代表监督指导的结果，也是全镇人民共同努力的结果。但是一些新情况与老问题互相交织、互相影响，对我镇经济持续平稳运行加大了难度。   </w:t>
      </w:r>
    </w:p>
    <w:p w14:paraId="29B3300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财政资金需求量持续扩大。三保支出、各类实事项目资金需求只增不减。民生保障中尤其是为老服务项目在老龄化趋势的背景下，资金需求量持续扩大。重大项目中存量二次开发资金需求量大且上级补贴资金不明朗；跨村平移负担加重，推高平移成本。</w:t>
      </w:r>
    </w:p>
    <w:p w14:paraId="061FA55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可用财力增速难以覆盖资金需求增速。2024年我镇地方财政收入虽稳中有进，但我镇经济体量、税收基数都相对较小，产业底子相对薄弱，地方财政收入难以覆盖全镇民生事项、基本工资及基本运行的支出。减量化收入难以持续、可减量范围逐渐缩小、可补贴范围日趋严格，城乡基础性建设项目资金保障压力增大。</w:t>
      </w:r>
    </w:p>
    <w:p w14:paraId="1E51755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三是要持续加强底线思维，防止系统性风险的发生。目前我镇安置房建设所需资金体量庞大，目前的融资规模与债务体量，亟需建立财政中长期规划，以防系统性风险和隐患的发生。</w:t>
      </w:r>
    </w:p>
    <w:p w14:paraId="46B5887B">
      <w:pPr>
        <w:spacing w:line="560" w:lineRule="exact"/>
        <w:ind w:firstLine="640" w:firstLineChars="200"/>
        <w:textAlignment w:val="top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二、2025年预算草案</w:t>
      </w:r>
    </w:p>
    <w:p w14:paraId="6A19303A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2025年是全面贯彻落实党的二十届三中全会精神的开局之年，是“十四五”规划收官之年，也是“十五五”规划谋篇布局之年。镇财政将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镇党委、镇政府重点工作，坚持党对财政工作的全面领导，坚持以人民为中心，坚持稳中求进工作总基调，强化财政资源和预算统筹，加强财政科学管理，严肃财经纪律，提高资金使用效益，为推动镇域经济持续回升向好做好有力保障，为此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2025年财政预算收支作如下安排：</w:t>
      </w:r>
    </w:p>
    <w:p w14:paraId="372A74F0">
      <w:pPr>
        <w:spacing w:line="560" w:lineRule="exact"/>
        <w:ind w:firstLine="643" w:firstLineChars="200"/>
        <w:textAlignment w:val="top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（一）地方财政收入安排情况</w:t>
      </w:r>
    </w:p>
    <w:p w14:paraId="3D2E193D">
      <w:pPr>
        <w:adjustRightInd w:val="0"/>
        <w:snapToGrid w:val="0"/>
        <w:spacing w:line="560" w:lineRule="exact"/>
        <w:ind w:firstLine="640" w:firstLineChars="200"/>
        <w:textAlignment w:val="top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一般公共预算收入47502万元，比上年减少15998万元，降幅25%。2024年市级专项转移项目结转158万元。</w:t>
      </w:r>
    </w:p>
    <w:p w14:paraId="1162E158">
      <w:pPr>
        <w:adjustRightInd w:val="0"/>
        <w:snapToGrid w:val="0"/>
        <w:spacing w:line="560" w:lineRule="exact"/>
        <w:ind w:firstLine="643" w:firstLineChars="200"/>
        <w:textAlignment w:val="top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（二）地方财政支出安排情况</w:t>
      </w:r>
    </w:p>
    <w:p w14:paraId="15A1579B">
      <w:pPr>
        <w:adjustRightInd w:val="0"/>
        <w:snapToGrid w:val="0"/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地方财政支出预算安排47502万元，比上年减少15813万元，降幅25%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CB21C30">
      <w:pPr>
        <w:adjustRightInd w:val="0"/>
        <w:snapToGrid w:val="0"/>
        <w:spacing w:line="56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主要支出为：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（1）一般公共服务支出4066万元，比上年增加276万元，增幅7%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（2）公共安全支出70万元，比上年减少51万元，降幅42%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（3）教育支出146万元，比上年增加131万元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（4）科学技术支出2万元，比上年增加1万元。 （5）文化旅游体育与传媒支出125万元，比上年减少31万元，降幅20%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（6）社会保障和就业支出12462万元，比上年减少756万元，降幅6%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（7）卫生健康支出1388万元，比上年增加454万元，增幅49%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（8）城乡社区支出8971万元，比上年减少2853万元，降幅24%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（9）农林水支出7642万元，比上年减少10721万元，降幅58%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（11）资源勘探信息等支出10876万元，比上年减少277万元，降幅2%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（12）援助其他地区支出330万元，比上年增加20万元，增幅6%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（13）住房保障支出722万元，比上年增加22万元，增幅3%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（14）灾害防治及应急管理支出202万元，比上年减少56万元，降幅22%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（15）预备费支出500万元，主要用于预算调整。</w:t>
      </w:r>
    </w:p>
    <w:p w14:paraId="6FF78B76">
      <w:pPr>
        <w:adjustRightInd w:val="0"/>
        <w:snapToGrid w:val="0"/>
        <w:spacing w:line="560" w:lineRule="exact"/>
        <w:ind w:firstLine="643" w:firstLineChars="200"/>
        <w:textAlignment w:val="top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（三）政府性基金收支安排情况</w:t>
      </w:r>
    </w:p>
    <w:p w14:paraId="1C3AAF51">
      <w:pPr>
        <w:adjustRightInd w:val="0"/>
        <w:snapToGrid w:val="0"/>
        <w:spacing w:line="560" w:lineRule="exact"/>
        <w:ind w:firstLine="640" w:firstLineChars="200"/>
        <w:textAlignment w:val="top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2025年政府性基金收入预算152万元，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152万元。</w:t>
      </w:r>
    </w:p>
    <w:p w14:paraId="31059633">
      <w:pPr>
        <w:adjustRightInd w:val="0"/>
        <w:snapToGrid w:val="0"/>
        <w:spacing w:line="560" w:lineRule="exact"/>
        <w:ind w:firstLine="643" w:firstLineChars="200"/>
        <w:textAlignment w:val="top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（四）财政专户资金安排情况</w:t>
      </w:r>
    </w:p>
    <w:p w14:paraId="788B115B">
      <w:pPr>
        <w:adjustRightInd w:val="0"/>
        <w:snapToGrid w:val="0"/>
        <w:spacing w:line="560" w:lineRule="exact"/>
        <w:ind w:firstLine="664" w:firstLineChars="200"/>
        <w:textAlignment w:val="top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财政专户收入预算46800万元，支出安排46800万元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。</w:t>
      </w:r>
      <w:bookmarkStart w:id="2" w:name="_GoBack"/>
      <w:bookmarkEnd w:id="2"/>
    </w:p>
    <w:p w14:paraId="43E8EB26">
      <w:pPr>
        <w:spacing w:line="560" w:lineRule="exact"/>
        <w:ind w:firstLine="640" w:firstLineChars="200"/>
        <w:textAlignment w:val="top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三、切实做好2025年财政改革发展工作</w:t>
      </w:r>
    </w:p>
    <w:p w14:paraId="51F9E859">
      <w:pPr>
        <w:spacing w:line="560" w:lineRule="exact"/>
        <w:ind w:firstLine="643" w:firstLineChars="200"/>
        <w:jc w:val="left"/>
        <w:rPr>
          <w:rFonts w:ascii="楷体_GB2312" w:hAnsi="楷体" w:eastAsia="楷体_GB2312" w:cs="楷体"/>
          <w:b/>
          <w:bCs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 xml:space="preserve">（一）稳存量、促增量，加强收入多渠道管理 </w:t>
      </w:r>
    </w:p>
    <w:p w14:paraId="51260B58">
      <w:pPr>
        <w:spacing w:line="560" w:lineRule="exact"/>
        <w:ind w:firstLine="664" w:firstLineChars="200"/>
        <w:jc w:val="left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2025年经济形势将会依然严峻复杂，我们既要正视困难、保持清醒、又要坚定信心、积极应对。收支紧平衡将是今后面临的一种常态，在夯实税基、厚植税源的基础上，要坚持多渠道开源，积极合理合规组织非税收入，确保各项收入应收尽收。加大预算收入统筹力度，将国有资产收益所得全面纳入收入预算，防止国有资产利益流失，提高国有资产使用效益。</w:t>
      </w:r>
    </w:p>
    <w:p w14:paraId="42395337">
      <w:pPr>
        <w:spacing w:line="560" w:lineRule="exact"/>
        <w:ind w:firstLine="667" w:firstLineChars="200"/>
        <w:jc w:val="left"/>
        <w:rPr>
          <w:rFonts w:ascii="仿宋_GB2312" w:hAnsi="仿宋_GB2312" w:eastAsia="仿宋_GB2312" w:cs="仿宋_GB2312"/>
          <w:b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6"/>
          <w:sz w:val="32"/>
          <w:szCs w:val="32"/>
        </w:rPr>
        <w:t>（二）调结构、强约束，多措并举优化财政支出结构</w:t>
      </w:r>
    </w:p>
    <w:p w14:paraId="7253E8BD">
      <w:pPr>
        <w:spacing w:line="560" w:lineRule="exact"/>
        <w:ind w:firstLine="664" w:firstLineChars="200"/>
        <w:jc w:val="left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2025年预算编制继续坚持有保有压，合理安排财政资金的主线路。持续贯彻落实党政机关习惯“过紧日子”要求，严控三公经费，压减低效支出；兜牢三保底线，保障重点领域、重点项目资金预算。依托预算管理一体化系统，强化预算执行动态监控，切实加强预算刚性约束。预算编制探索打破以支出固化的旧编制模式，实施一切从零开始的“零基预算”编制方法，从零审视和评估所有支出项目，确保资源的最优配置。</w:t>
      </w:r>
    </w:p>
    <w:p w14:paraId="4E6010C3">
      <w:pPr>
        <w:spacing w:line="560" w:lineRule="exact"/>
        <w:ind w:firstLine="643" w:firstLineChars="200"/>
        <w:jc w:val="left"/>
        <w:rPr>
          <w:rFonts w:ascii="楷体_GB2312" w:hAnsi="楷体" w:eastAsia="楷体_GB2312" w:cs="楷体"/>
          <w:b/>
          <w:bCs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（三）控成本、讲绩效，全面推广成本预算绩效管理</w:t>
      </w:r>
    </w:p>
    <w:p w14:paraId="7F7665DC">
      <w:pPr>
        <w:spacing w:line="560" w:lineRule="exact"/>
        <w:ind w:firstLine="664" w:firstLineChars="200"/>
        <w:jc w:val="left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成本预算绩效管理是推动政府行政降本增效、落实过紧日子的重要途径。2025年将全面贯彻落实《松江区全面开展成本预算绩效管理的实施方案》（沪松府办﹝2024﹞17号）相关要求。继续重点关注购买服务类项目，探索项目本身的效益水平、成本构成，优化项目实施单位的业务管理机制。加强成本绩效分析结果的有效应用，使其结果与单位预算编制、业务管理有效结合。</w:t>
      </w:r>
    </w:p>
    <w:p w14:paraId="6F26D44C">
      <w:pPr>
        <w:spacing w:line="560" w:lineRule="exact"/>
        <w:ind w:firstLine="643" w:firstLineChars="200"/>
        <w:jc w:val="left"/>
        <w:rPr>
          <w:rFonts w:ascii="楷体_GB2312" w:hAnsi="楷体" w:eastAsia="楷体_GB2312" w:cs="楷体"/>
          <w:b/>
          <w:bCs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（四）强监管、促规范，完善购买第三方服务长效管理机制</w:t>
      </w:r>
    </w:p>
    <w:p w14:paraId="11D758FF">
      <w:pPr>
        <w:spacing w:line="560" w:lineRule="exact"/>
        <w:ind w:firstLine="664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持续加强购买第三方服务管理，严控新增购买第三方服务事项、存量购买服务规模。进一步强化购买主体的主体责任，严禁由政府履职事项通过购买服务外包或转嫁。通过结合成本预算绩效分析等方式合理确定服务成本、服务标准，健全完善购买第三方服务制度。借助预算管理一体化系统，对购买第三方服务的决策、执行、资金使用等环节进行全周期监督管理，不断提升购买第三方服务监管水平。</w:t>
      </w:r>
    </w:p>
    <w:p w14:paraId="7D128188">
      <w:pPr>
        <w:spacing w:line="560" w:lineRule="exact"/>
        <w:ind w:firstLine="664" w:firstLineChars="200"/>
        <w:jc w:val="left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各位代表，2025年镇财政各项工作任务仍十分艰巨，我们将在镇党委的领导下，在镇人大的监督指导下，持之以恒加强财政收支管理，牢固树立服务意识、主动担当作为，抓住主要矛盾，突破瓶颈制约，注重前瞻布局，确保明年财政工作重点任务落地落实。</w:t>
      </w:r>
    </w:p>
    <w:p w14:paraId="10D07638">
      <w:pPr>
        <w:adjustRightInd w:val="0"/>
        <w:snapToGrid w:val="0"/>
        <w:spacing w:line="560" w:lineRule="exact"/>
        <w:ind w:firstLine="600" w:firstLineChars="200"/>
        <w:textAlignment w:val="top"/>
        <w:rPr>
          <w:rFonts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</w:t>
      </w:r>
    </w:p>
    <w:sectPr>
      <w:footerReference r:id="rId3" w:type="default"/>
      <w:pgSz w:w="11906" w:h="16838"/>
      <w:pgMar w:top="1440" w:right="2125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2FA14">
    <w:pPr>
      <w:pStyle w:val="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4BC5BFA4"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YmY2MTIxOWMzZTdiNDhhOGIyYTQxYTBkOTBmODkifQ=="/>
  </w:docVars>
  <w:rsids>
    <w:rsidRoot w:val="002777AC"/>
    <w:rsid w:val="00001A63"/>
    <w:rsid w:val="0000551A"/>
    <w:rsid w:val="000057A6"/>
    <w:rsid w:val="00017F1A"/>
    <w:rsid w:val="0002615C"/>
    <w:rsid w:val="00027A77"/>
    <w:rsid w:val="0003319B"/>
    <w:rsid w:val="000373A4"/>
    <w:rsid w:val="000567EB"/>
    <w:rsid w:val="00071FA1"/>
    <w:rsid w:val="00075264"/>
    <w:rsid w:val="000866BF"/>
    <w:rsid w:val="00094BF3"/>
    <w:rsid w:val="00095E8C"/>
    <w:rsid w:val="000967FF"/>
    <w:rsid w:val="000A062B"/>
    <w:rsid w:val="000A3A4C"/>
    <w:rsid w:val="000B3A5C"/>
    <w:rsid w:val="000B5BF5"/>
    <w:rsid w:val="000C5535"/>
    <w:rsid w:val="000D0DA1"/>
    <w:rsid w:val="000D57E0"/>
    <w:rsid w:val="000D5B18"/>
    <w:rsid w:val="000E2108"/>
    <w:rsid w:val="000E3BAC"/>
    <w:rsid w:val="00100F52"/>
    <w:rsid w:val="00111882"/>
    <w:rsid w:val="001370E6"/>
    <w:rsid w:val="00140E44"/>
    <w:rsid w:val="00145EBF"/>
    <w:rsid w:val="0015180E"/>
    <w:rsid w:val="00152DBE"/>
    <w:rsid w:val="00157CC1"/>
    <w:rsid w:val="00157E58"/>
    <w:rsid w:val="00160A74"/>
    <w:rsid w:val="00163753"/>
    <w:rsid w:val="0017087B"/>
    <w:rsid w:val="00174401"/>
    <w:rsid w:val="00187E99"/>
    <w:rsid w:val="0019096F"/>
    <w:rsid w:val="001A3BF9"/>
    <w:rsid w:val="001B6A22"/>
    <w:rsid w:val="001D3B84"/>
    <w:rsid w:val="001D5D79"/>
    <w:rsid w:val="001D7467"/>
    <w:rsid w:val="001E1DA8"/>
    <w:rsid w:val="001E2C8E"/>
    <w:rsid w:val="001F03E1"/>
    <w:rsid w:val="001F469E"/>
    <w:rsid w:val="0021172F"/>
    <w:rsid w:val="00215333"/>
    <w:rsid w:val="00242253"/>
    <w:rsid w:val="00245640"/>
    <w:rsid w:val="002638D2"/>
    <w:rsid w:val="00265914"/>
    <w:rsid w:val="00270BCB"/>
    <w:rsid w:val="002777AC"/>
    <w:rsid w:val="00277F8F"/>
    <w:rsid w:val="00281152"/>
    <w:rsid w:val="002A00C7"/>
    <w:rsid w:val="002A0F48"/>
    <w:rsid w:val="002A4B59"/>
    <w:rsid w:val="002B7D26"/>
    <w:rsid w:val="002C0C4A"/>
    <w:rsid w:val="002D612E"/>
    <w:rsid w:val="002E066C"/>
    <w:rsid w:val="002F4C42"/>
    <w:rsid w:val="002F7958"/>
    <w:rsid w:val="003069E2"/>
    <w:rsid w:val="00307E98"/>
    <w:rsid w:val="0031103B"/>
    <w:rsid w:val="003222D6"/>
    <w:rsid w:val="00323D58"/>
    <w:rsid w:val="00325257"/>
    <w:rsid w:val="003262FB"/>
    <w:rsid w:val="00336EA2"/>
    <w:rsid w:val="003455B7"/>
    <w:rsid w:val="00353B00"/>
    <w:rsid w:val="003705E2"/>
    <w:rsid w:val="003706AB"/>
    <w:rsid w:val="00372A8F"/>
    <w:rsid w:val="003A0FD5"/>
    <w:rsid w:val="003D1607"/>
    <w:rsid w:val="003D2FDD"/>
    <w:rsid w:val="003E4598"/>
    <w:rsid w:val="00401362"/>
    <w:rsid w:val="00447228"/>
    <w:rsid w:val="00461242"/>
    <w:rsid w:val="00463252"/>
    <w:rsid w:val="004814FC"/>
    <w:rsid w:val="00484AF2"/>
    <w:rsid w:val="00487465"/>
    <w:rsid w:val="00487AC0"/>
    <w:rsid w:val="004A0C38"/>
    <w:rsid w:val="004A2DD2"/>
    <w:rsid w:val="004A6548"/>
    <w:rsid w:val="004B4225"/>
    <w:rsid w:val="004B5E99"/>
    <w:rsid w:val="004C42CA"/>
    <w:rsid w:val="004E705C"/>
    <w:rsid w:val="004E7226"/>
    <w:rsid w:val="004F03E6"/>
    <w:rsid w:val="005024BB"/>
    <w:rsid w:val="0050791A"/>
    <w:rsid w:val="00515616"/>
    <w:rsid w:val="00517150"/>
    <w:rsid w:val="00521441"/>
    <w:rsid w:val="00522DF0"/>
    <w:rsid w:val="00541ADB"/>
    <w:rsid w:val="0054286E"/>
    <w:rsid w:val="00543793"/>
    <w:rsid w:val="00544B82"/>
    <w:rsid w:val="005546A7"/>
    <w:rsid w:val="00555C0C"/>
    <w:rsid w:val="005659C3"/>
    <w:rsid w:val="00566DC9"/>
    <w:rsid w:val="00583295"/>
    <w:rsid w:val="00590FFE"/>
    <w:rsid w:val="005A0825"/>
    <w:rsid w:val="005A335B"/>
    <w:rsid w:val="005A5281"/>
    <w:rsid w:val="005B5187"/>
    <w:rsid w:val="005C6E58"/>
    <w:rsid w:val="005D12F6"/>
    <w:rsid w:val="00612E6E"/>
    <w:rsid w:val="00624039"/>
    <w:rsid w:val="00630695"/>
    <w:rsid w:val="0063075B"/>
    <w:rsid w:val="006473F0"/>
    <w:rsid w:val="00651428"/>
    <w:rsid w:val="00665AA2"/>
    <w:rsid w:val="0066692C"/>
    <w:rsid w:val="00683319"/>
    <w:rsid w:val="006850D5"/>
    <w:rsid w:val="00687A2A"/>
    <w:rsid w:val="006976FC"/>
    <w:rsid w:val="006A2019"/>
    <w:rsid w:val="006A73B3"/>
    <w:rsid w:val="006B76A6"/>
    <w:rsid w:val="006C5EEA"/>
    <w:rsid w:val="006D5E5E"/>
    <w:rsid w:val="006D66FF"/>
    <w:rsid w:val="006F0C4F"/>
    <w:rsid w:val="006F73E5"/>
    <w:rsid w:val="00701BAB"/>
    <w:rsid w:val="00703899"/>
    <w:rsid w:val="00704A8A"/>
    <w:rsid w:val="00707D5F"/>
    <w:rsid w:val="00711CD9"/>
    <w:rsid w:val="00734818"/>
    <w:rsid w:val="00744AEC"/>
    <w:rsid w:val="007631E6"/>
    <w:rsid w:val="007676F1"/>
    <w:rsid w:val="00771402"/>
    <w:rsid w:val="007718B8"/>
    <w:rsid w:val="00772C2D"/>
    <w:rsid w:val="00780CB3"/>
    <w:rsid w:val="0078567E"/>
    <w:rsid w:val="00785EC4"/>
    <w:rsid w:val="00787EA1"/>
    <w:rsid w:val="00790C9A"/>
    <w:rsid w:val="00792D4C"/>
    <w:rsid w:val="00794E7D"/>
    <w:rsid w:val="0079532E"/>
    <w:rsid w:val="007960C9"/>
    <w:rsid w:val="007A288D"/>
    <w:rsid w:val="007A466F"/>
    <w:rsid w:val="007A4DBB"/>
    <w:rsid w:val="007A7A98"/>
    <w:rsid w:val="007A7EE4"/>
    <w:rsid w:val="007B28F8"/>
    <w:rsid w:val="007C026F"/>
    <w:rsid w:val="007C4230"/>
    <w:rsid w:val="007C732E"/>
    <w:rsid w:val="007D02C4"/>
    <w:rsid w:val="007D1363"/>
    <w:rsid w:val="007D4331"/>
    <w:rsid w:val="007D76CB"/>
    <w:rsid w:val="007F3025"/>
    <w:rsid w:val="007F3432"/>
    <w:rsid w:val="007F4C64"/>
    <w:rsid w:val="007F7CD6"/>
    <w:rsid w:val="008040CF"/>
    <w:rsid w:val="0081583C"/>
    <w:rsid w:val="0083077B"/>
    <w:rsid w:val="00837359"/>
    <w:rsid w:val="00843570"/>
    <w:rsid w:val="008451EF"/>
    <w:rsid w:val="00846CF8"/>
    <w:rsid w:val="0086502C"/>
    <w:rsid w:val="00867BAA"/>
    <w:rsid w:val="0089107A"/>
    <w:rsid w:val="00891515"/>
    <w:rsid w:val="008A1156"/>
    <w:rsid w:val="008A152E"/>
    <w:rsid w:val="008A1661"/>
    <w:rsid w:val="008A484E"/>
    <w:rsid w:val="008A7DE7"/>
    <w:rsid w:val="008B0FAA"/>
    <w:rsid w:val="008B5200"/>
    <w:rsid w:val="008C1FD9"/>
    <w:rsid w:val="008C2F02"/>
    <w:rsid w:val="008D1890"/>
    <w:rsid w:val="008D31C3"/>
    <w:rsid w:val="008D4DC0"/>
    <w:rsid w:val="008E691B"/>
    <w:rsid w:val="008F10EC"/>
    <w:rsid w:val="008F188F"/>
    <w:rsid w:val="008F196A"/>
    <w:rsid w:val="008F671A"/>
    <w:rsid w:val="008F6802"/>
    <w:rsid w:val="008F70CB"/>
    <w:rsid w:val="008F7685"/>
    <w:rsid w:val="00911489"/>
    <w:rsid w:val="0091511B"/>
    <w:rsid w:val="00917CF7"/>
    <w:rsid w:val="00926F7E"/>
    <w:rsid w:val="00930B56"/>
    <w:rsid w:val="00936FEC"/>
    <w:rsid w:val="00937469"/>
    <w:rsid w:val="0094192F"/>
    <w:rsid w:val="00942454"/>
    <w:rsid w:val="0096128B"/>
    <w:rsid w:val="00966074"/>
    <w:rsid w:val="00970E9E"/>
    <w:rsid w:val="009732C2"/>
    <w:rsid w:val="00987B88"/>
    <w:rsid w:val="009A306E"/>
    <w:rsid w:val="009A6117"/>
    <w:rsid w:val="009B1864"/>
    <w:rsid w:val="009B2351"/>
    <w:rsid w:val="009C20A6"/>
    <w:rsid w:val="009D43BB"/>
    <w:rsid w:val="009E0C5D"/>
    <w:rsid w:val="009E1060"/>
    <w:rsid w:val="009E4888"/>
    <w:rsid w:val="009E6697"/>
    <w:rsid w:val="00A052EE"/>
    <w:rsid w:val="00A12F39"/>
    <w:rsid w:val="00A3300F"/>
    <w:rsid w:val="00A43F5D"/>
    <w:rsid w:val="00A472CA"/>
    <w:rsid w:val="00A535BA"/>
    <w:rsid w:val="00A60200"/>
    <w:rsid w:val="00A63598"/>
    <w:rsid w:val="00A65E87"/>
    <w:rsid w:val="00A6691C"/>
    <w:rsid w:val="00A708F0"/>
    <w:rsid w:val="00A8125E"/>
    <w:rsid w:val="00A901CC"/>
    <w:rsid w:val="00A92CDB"/>
    <w:rsid w:val="00A94F83"/>
    <w:rsid w:val="00AB5C76"/>
    <w:rsid w:val="00AC5B72"/>
    <w:rsid w:val="00AE23BD"/>
    <w:rsid w:val="00AE6135"/>
    <w:rsid w:val="00AF0C8A"/>
    <w:rsid w:val="00B11E54"/>
    <w:rsid w:val="00B20D28"/>
    <w:rsid w:val="00B20E99"/>
    <w:rsid w:val="00B23E49"/>
    <w:rsid w:val="00B30FD4"/>
    <w:rsid w:val="00B4004C"/>
    <w:rsid w:val="00B44787"/>
    <w:rsid w:val="00B447AB"/>
    <w:rsid w:val="00B512A5"/>
    <w:rsid w:val="00B530D4"/>
    <w:rsid w:val="00B56521"/>
    <w:rsid w:val="00B57C9D"/>
    <w:rsid w:val="00B73051"/>
    <w:rsid w:val="00B809A4"/>
    <w:rsid w:val="00B921EA"/>
    <w:rsid w:val="00B96B0D"/>
    <w:rsid w:val="00B97533"/>
    <w:rsid w:val="00BA5C01"/>
    <w:rsid w:val="00BC0B9D"/>
    <w:rsid w:val="00BC16E7"/>
    <w:rsid w:val="00BC25D3"/>
    <w:rsid w:val="00BD40D5"/>
    <w:rsid w:val="00BE3792"/>
    <w:rsid w:val="00BE3798"/>
    <w:rsid w:val="00BE73F0"/>
    <w:rsid w:val="00BF0A18"/>
    <w:rsid w:val="00C07167"/>
    <w:rsid w:val="00C10881"/>
    <w:rsid w:val="00C1299D"/>
    <w:rsid w:val="00C13120"/>
    <w:rsid w:val="00C13E90"/>
    <w:rsid w:val="00C1672A"/>
    <w:rsid w:val="00C266AC"/>
    <w:rsid w:val="00C40451"/>
    <w:rsid w:val="00C533EA"/>
    <w:rsid w:val="00C54970"/>
    <w:rsid w:val="00C62123"/>
    <w:rsid w:val="00C65F41"/>
    <w:rsid w:val="00C66595"/>
    <w:rsid w:val="00C87E47"/>
    <w:rsid w:val="00C941B3"/>
    <w:rsid w:val="00C944AC"/>
    <w:rsid w:val="00C9713B"/>
    <w:rsid w:val="00C97271"/>
    <w:rsid w:val="00C97728"/>
    <w:rsid w:val="00CA5233"/>
    <w:rsid w:val="00CA783D"/>
    <w:rsid w:val="00CC1A66"/>
    <w:rsid w:val="00CC7F69"/>
    <w:rsid w:val="00CD26C9"/>
    <w:rsid w:val="00CE656E"/>
    <w:rsid w:val="00CE6830"/>
    <w:rsid w:val="00D24604"/>
    <w:rsid w:val="00D40FC3"/>
    <w:rsid w:val="00D46A60"/>
    <w:rsid w:val="00D608D2"/>
    <w:rsid w:val="00D73D11"/>
    <w:rsid w:val="00D90EE1"/>
    <w:rsid w:val="00DA44A4"/>
    <w:rsid w:val="00DA7EC8"/>
    <w:rsid w:val="00DB218D"/>
    <w:rsid w:val="00DC374A"/>
    <w:rsid w:val="00DC478F"/>
    <w:rsid w:val="00DE754A"/>
    <w:rsid w:val="00DE79C4"/>
    <w:rsid w:val="00DF6759"/>
    <w:rsid w:val="00DF6E08"/>
    <w:rsid w:val="00DF6F26"/>
    <w:rsid w:val="00E019D1"/>
    <w:rsid w:val="00E07645"/>
    <w:rsid w:val="00E07B95"/>
    <w:rsid w:val="00E2227A"/>
    <w:rsid w:val="00E35A88"/>
    <w:rsid w:val="00E43637"/>
    <w:rsid w:val="00E450DF"/>
    <w:rsid w:val="00E5146D"/>
    <w:rsid w:val="00E51DEB"/>
    <w:rsid w:val="00E52AF1"/>
    <w:rsid w:val="00E632D2"/>
    <w:rsid w:val="00E634C1"/>
    <w:rsid w:val="00EA552F"/>
    <w:rsid w:val="00EC08FF"/>
    <w:rsid w:val="00ED1C9D"/>
    <w:rsid w:val="00ED4DF1"/>
    <w:rsid w:val="00EE1DBD"/>
    <w:rsid w:val="00EE4657"/>
    <w:rsid w:val="00EE54F4"/>
    <w:rsid w:val="00EE6973"/>
    <w:rsid w:val="00F06125"/>
    <w:rsid w:val="00F26791"/>
    <w:rsid w:val="00F27AE9"/>
    <w:rsid w:val="00F27BD6"/>
    <w:rsid w:val="00F47C50"/>
    <w:rsid w:val="00F573B6"/>
    <w:rsid w:val="00F61883"/>
    <w:rsid w:val="00F745C9"/>
    <w:rsid w:val="00F77B70"/>
    <w:rsid w:val="00F83EC2"/>
    <w:rsid w:val="00F864C8"/>
    <w:rsid w:val="00F86B25"/>
    <w:rsid w:val="00F90AD0"/>
    <w:rsid w:val="00F93E8E"/>
    <w:rsid w:val="00F94CDF"/>
    <w:rsid w:val="00FB2588"/>
    <w:rsid w:val="00FB484C"/>
    <w:rsid w:val="00FB6BA3"/>
    <w:rsid w:val="00FD1C84"/>
    <w:rsid w:val="00FE33AE"/>
    <w:rsid w:val="00FF0F01"/>
    <w:rsid w:val="061259FD"/>
    <w:rsid w:val="06A372FC"/>
    <w:rsid w:val="07E3387A"/>
    <w:rsid w:val="0BBC4F2A"/>
    <w:rsid w:val="0CCC18E6"/>
    <w:rsid w:val="0F4E4C2E"/>
    <w:rsid w:val="11B11013"/>
    <w:rsid w:val="12E666D9"/>
    <w:rsid w:val="16A364D0"/>
    <w:rsid w:val="1B044131"/>
    <w:rsid w:val="1DFB114E"/>
    <w:rsid w:val="1EB12A8F"/>
    <w:rsid w:val="20D631BA"/>
    <w:rsid w:val="22DF0933"/>
    <w:rsid w:val="23A509A9"/>
    <w:rsid w:val="25760CAB"/>
    <w:rsid w:val="269C7383"/>
    <w:rsid w:val="27743CDF"/>
    <w:rsid w:val="2C636112"/>
    <w:rsid w:val="2EFA45A9"/>
    <w:rsid w:val="2F384701"/>
    <w:rsid w:val="2F697F3B"/>
    <w:rsid w:val="30A17293"/>
    <w:rsid w:val="324E3F62"/>
    <w:rsid w:val="328B2DB4"/>
    <w:rsid w:val="32EB7579"/>
    <w:rsid w:val="34717D26"/>
    <w:rsid w:val="39F73203"/>
    <w:rsid w:val="3A2A12C4"/>
    <w:rsid w:val="3B752B5A"/>
    <w:rsid w:val="400079AA"/>
    <w:rsid w:val="40703B52"/>
    <w:rsid w:val="43385EA6"/>
    <w:rsid w:val="44D9417E"/>
    <w:rsid w:val="46812198"/>
    <w:rsid w:val="47993513"/>
    <w:rsid w:val="480F2042"/>
    <w:rsid w:val="49F72B54"/>
    <w:rsid w:val="4C983BB2"/>
    <w:rsid w:val="4D600A36"/>
    <w:rsid w:val="4DCB78C4"/>
    <w:rsid w:val="54511121"/>
    <w:rsid w:val="54BF5A2E"/>
    <w:rsid w:val="55F02794"/>
    <w:rsid w:val="58183328"/>
    <w:rsid w:val="5A617174"/>
    <w:rsid w:val="63026FE2"/>
    <w:rsid w:val="63C5487F"/>
    <w:rsid w:val="660F4D25"/>
    <w:rsid w:val="68601028"/>
    <w:rsid w:val="6ECE529C"/>
    <w:rsid w:val="6FF74FBC"/>
    <w:rsid w:val="71A6427A"/>
    <w:rsid w:val="732926A2"/>
    <w:rsid w:val="777F7885"/>
    <w:rsid w:val="77862097"/>
    <w:rsid w:val="77B62ACD"/>
    <w:rsid w:val="7FE0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99"/>
    <w:rPr>
      <w:b/>
      <w:bCs/>
    </w:rPr>
  </w:style>
  <w:style w:type="character" w:customStyle="1" w:styleId="9">
    <w:name w:val="纯文本 Char"/>
    <w:basedOn w:val="7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10">
    <w:name w:val="批注框文本 Char"/>
    <w:basedOn w:val="7"/>
    <w:link w:val="3"/>
    <w:semiHidden/>
    <w:qFormat/>
    <w:locked/>
    <w:uiPriority w:val="99"/>
    <w:rPr>
      <w:sz w:val="2"/>
      <w:szCs w:val="2"/>
    </w:rPr>
  </w:style>
  <w:style w:type="character" w:customStyle="1" w:styleId="11">
    <w:name w:val="页脚 Char"/>
    <w:basedOn w:val="7"/>
    <w:link w:val="4"/>
    <w:qFormat/>
    <w:locked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semiHidden/>
    <w:qFormat/>
    <w:locked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13D0D-8BF3-4CD0-B091-3ED1E3762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7</Pages>
  <Words>465</Words>
  <Characters>540</Characters>
  <Lines>45</Lines>
  <Paragraphs>12</Paragraphs>
  <TotalTime>2356</TotalTime>
  <ScaleCrop>false</ScaleCrop>
  <LinksUpToDate>false</LinksUpToDate>
  <CharactersWithSpaces>542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2024-11-25T02:33:00Z</dcterms:created>
  <dc:creator>USER-</dc:creator>
  <cp:lastModifiedBy>LLL</cp:lastModifiedBy>
  <cp:lastPrinted>2024-12-31T02:09:00Z</cp:lastPrinted>
  <dcterms:modified xsi:type="dcterms:W3CDTF">2025-03-06T02:09:29Z</dcterms:modified>
  <dc:title>关于叶榭镇2019年预算执行情况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53AB4EC37BD84590B16177E1133140CF_13</vt:lpwstr>
  </property>
  <property fmtid="{D5CDD505-2E9C-101B-9397-08002B2CF9AE}" pid="4" name="KSOTemplateDocerSaveRecord">
    <vt:lpwstr>eyJoZGlkIjoiYWYyYmY2MTIxOWMzZTdiNDhhOGIyYTQxYTBkOTBmODkiLCJ1c2VySWQiOiI2MDgwMDIxODYifQ==</vt:lpwstr>
  </property>
</Properties>
</file>